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C59" w:rsidRDefault="000A6C59">
      <w:pPr>
        <w:rPr>
          <w:rtl/>
        </w:rPr>
      </w:pPr>
      <w:bookmarkStart w:id="0" w:name="_GoBack"/>
      <w:bookmarkEnd w:id="0"/>
    </w:p>
    <w:p w:rsidR="00721150" w:rsidRDefault="00D72F66" w:rsidP="001816E3">
      <w:pPr>
        <w:spacing w:before="120" w:line="360" w:lineRule="auto"/>
        <w:jc w:val="right"/>
        <w:rPr>
          <w:rFonts w:ascii="Arial" w:hAnsi="Arial" w:cs="David"/>
          <w:rtl/>
        </w:rPr>
      </w:pPr>
      <w:r>
        <w:rPr>
          <w:rFonts w:ascii="Arial" w:hAnsi="Arial" w:cs="David" w:hint="cs"/>
          <w:rtl/>
        </w:rPr>
        <w:t>16 בינואר 2017</w:t>
      </w:r>
    </w:p>
    <w:p w:rsidR="00D72F66" w:rsidRDefault="00D72F66" w:rsidP="001816E3">
      <w:pPr>
        <w:jc w:val="both"/>
        <w:rPr>
          <w:rFonts w:ascii="Arial" w:hAnsi="Arial" w:cs="David"/>
          <w:rtl/>
        </w:rPr>
      </w:pPr>
      <w:r>
        <w:rPr>
          <w:rFonts w:ascii="Arial" w:hAnsi="Arial" w:cs="David" w:hint="cs"/>
          <w:rtl/>
        </w:rPr>
        <w:t xml:space="preserve">לכבוד </w:t>
      </w:r>
    </w:p>
    <w:p w:rsidR="00D72F66" w:rsidRDefault="00D72F66" w:rsidP="001816E3">
      <w:pPr>
        <w:jc w:val="both"/>
        <w:rPr>
          <w:rFonts w:ascii="Arial" w:hAnsi="Arial" w:cs="David"/>
          <w:rtl/>
        </w:rPr>
      </w:pPr>
      <w:r>
        <w:rPr>
          <w:rFonts w:ascii="Arial" w:hAnsi="Arial" w:cs="David" w:hint="cs"/>
          <w:rtl/>
        </w:rPr>
        <w:t xml:space="preserve">ח"כ דוד </w:t>
      </w:r>
      <w:proofErr w:type="spellStart"/>
      <w:r>
        <w:rPr>
          <w:rFonts w:ascii="Arial" w:hAnsi="Arial" w:cs="David" w:hint="cs"/>
          <w:rtl/>
        </w:rPr>
        <w:t>אמסלם</w:t>
      </w:r>
      <w:proofErr w:type="spellEnd"/>
      <w:r>
        <w:rPr>
          <w:rFonts w:ascii="Arial" w:hAnsi="Arial" w:cs="David" w:hint="cs"/>
          <w:rtl/>
        </w:rPr>
        <w:t>, יו"ר</w:t>
      </w:r>
    </w:p>
    <w:p w:rsidR="00D72F66" w:rsidRDefault="00D72F66" w:rsidP="001816E3">
      <w:pPr>
        <w:jc w:val="both"/>
        <w:rPr>
          <w:rFonts w:ascii="Arial" w:hAnsi="Arial" w:cs="David"/>
          <w:rtl/>
        </w:rPr>
      </w:pPr>
      <w:r>
        <w:rPr>
          <w:rFonts w:ascii="Arial" w:hAnsi="Arial" w:cs="David" w:hint="cs"/>
          <w:rtl/>
        </w:rPr>
        <w:t>ועדת הפנים והגנת הסביבה</w:t>
      </w:r>
    </w:p>
    <w:p w:rsidR="00D72F66" w:rsidRPr="001816E3" w:rsidRDefault="00D72F66" w:rsidP="001816E3">
      <w:pPr>
        <w:jc w:val="both"/>
        <w:rPr>
          <w:rFonts w:ascii="Arial" w:hAnsi="Arial" w:cs="David"/>
          <w:u w:val="single"/>
          <w:rtl/>
        </w:rPr>
      </w:pPr>
      <w:r w:rsidRPr="001816E3">
        <w:rPr>
          <w:rFonts w:ascii="Arial" w:hAnsi="Arial" w:cs="David" w:hint="cs"/>
          <w:u w:val="single"/>
          <w:rtl/>
        </w:rPr>
        <w:t>הכנסת</w:t>
      </w:r>
    </w:p>
    <w:p w:rsidR="00D72F66" w:rsidRDefault="00D72F66" w:rsidP="009B10D1">
      <w:pPr>
        <w:spacing w:before="120" w:line="360" w:lineRule="auto"/>
        <w:jc w:val="both"/>
        <w:rPr>
          <w:rFonts w:ascii="Arial" w:hAnsi="Arial" w:cs="David"/>
          <w:rtl/>
        </w:rPr>
      </w:pPr>
    </w:p>
    <w:p w:rsidR="00D72F66" w:rsidRDefault="00D72F66" w:rsidP="009B10D1">
      <w:pPr>
        <w:spacing w:before="120" w:line="360" w:lineRule="auto"/>
        <w:jc w:val="both"/>
        <w:rPr>
          <w:rFonts w:ascii="Arial" w:hAnsi="Arial" w:cs="David"/>
          <w:rtl/>
        </w:rPr>
      </w:pPr>
      <w:r>
        <w:rPr>
          <w:rFonts w:ascii="Arial" w:hAnsi="Arial" w:cs="David" w:hint="cs"/>
          <w:rtl/>
        </w:rPr>
        <w:t>שלום רב,</w:t>
      </w:r>
    </w:p>
    <w:p w:rsidR="00D72F66" w:rsidRDefault="00D72F66" w:rsidP="009B10D1">
      <w:pPr>
        <w:spacing w:before="120" w:line="360" w:lineRule="auto"/>
        <w:jc w:val="both"/>
        <w:rPr>
          <w:rFonts w:ascii="Arial" w:hAnsi="Arial" w:cs="David"/>
          <w:rtl/>
        </w:rPr>
      </w:pPr>
    </w:p>
    <w:p w:rsidR="00D72F66" w:rsidRPr="001816E3" w:rsidRDefault="00D72F66" w:rsidP="001816E3">
      <w:pPr>
        <w:spacing w:before="120" w:line="360" w:lineRule="auto"/>
        <w:jc w:val="center"/>
        <w:rPr>
          <w:rFonts w:ascii="Arial" w:hAnsi="Arial" w:cs="David"/>
          <w:b/>
          <w:bCs/>
          <w:u w:val="single"/>
          <w:rtl/>
        </w:rPr>
      </w:pPr>
      <w:r w:rsidRPr="001816E3">
        <w:rPr>
          <w:rFonts w:ascii="Arial" w:hAnsi="Arial" w:cs="David" w:hint="cs"/>
          <w:rtl/>
        </w:rPr>
        <w:t>הנדון</w:t>
      </w:r>
      <w:r w:rsidR="001816E3" w:rsidRPr="001816E3">
        <w:rPr>
          <w:rFonts w:ascii="Arial" w:hAnsi="Arial" w:cs="David" w:hint="cs"/>
          <w:rtl/>
        </w:rPr>
        <w:t>:</w:t>
      </w:r>
      <w:r w:rsidR="001816E3" w:rsidRPr="001816E3">
        <w:rPr>
          <w:rFonts w:ascii="Arial" w:hAnsi="Arial" w:cs="David" w:hint="cs"/>
          <w:b/>
          <w:bCs/>
          <w:u w:val="single"/>
          <w:rtl/>
        </w:rPr>
        <w:t xml:space="preserve"> תיקון 4 לחוק לקידום הבניה במתחמים מועדפים לדיור </w:t>
      </w:r>
      <w:r w:rsidR="001816E3" w:rsidRPr="001816E3">
        <w:rPr>
          <w:rFonts w:ascii="Arial" w:hAnsi="Arial" w:cs="David"/>
          <w:b/>
          <w:bCs/>
          <w:u w:val="single"/>
          <w:rtl/>
        </w:rPr>
        <w:t>–</w:t>
      </w:r>
      <w:r w:rsidR="001816E3" w:rsidRPr="001816E3">
        <w:rPr>
          <w:rFonts w:ascii="Arial" w:hAnsi="Arial" w:cs="David" w:hint="cs"/>
          <w:b/>
          <w:bCs/>
          <w:u w:val="single"/>
          <w:rtl/>
        </w:rPr>
        <w:t xml:space="preserve"> עמדת האגודה לזכויות האזרח</w:t>
      </w:r>
    </w:p>
    <w:p w:rsidR="001816E3" w:rsidRDefault="001816E3" w:rsidP="009B10D1">
      <w:pPr>
        <w:spacing w:before="120" w:line="360" w:lineRule="auto"/>
        <w:jc w:val="both"/>
        <w:rPr>
          <w:rFonts w:ascii="Arial" w:hAnsi="Arial" w:cs="David"/>
          <w:rtl/>
        </w:rPr>
      </w:pPr>
      <w:r>
        <w:rPr>
          <w:rFonts w:ascii="Arial" w:hAnsi="Arial" w:cs="David" w:hint="cs"/>
          <w:rtl/>
        </w:rPr>
        <w:t>הריני לפנות אליך בשם האגודה לזכויות האזרח בענ</w:t>
      </w:r>
      <w:r w:rsidR="002A3FF7">
        <w:rPr>
          <w:rFonts w:ascii="Arial" w:hAnsi="Arial" w:cs="David" w:hint="cs"/>
          <w:rtl/>
        </w:rPr>
        <w:t>יין התיקון שבנדון, שיידון בישיבת הוועדה</w:t>
      </w:r>
      <w:r>
        <w:rPr>
          <w:rFonts w:ascii="Arial" w:hAnsi="Arial" w:cs="David" w:hint="cs"/>
          <w:rtl/>
        </w:rPr>
        <w:t xml:space="preserve"> ביום 18.1.</w:t>
      </w:r>
      <w:r w:rsidR="0043516C">
        <w:rPr>
          <w:rFonts w:ascii="Arial" w:hAnsi="Arial" w:cs="David" w:hint="cs"/>
          <w:rtl/>
        </w:rPr>
        <w:t>16 בשעה 8:30 כדלקמן:</w:t>
      </w:r>
    </w:p>
    <w:p w:rsidR="00D71CE7" w:rsidRDefault="00D71CE7" w:rsidP="002A3FF7">
      <w:pPr>
        <w:pStyle w:val="a8"/>
        <w:numPr>
          <w:ilvl w:val="0"/>
          <w:numId w:val="1"/>
        </w:numPr>
        <w:spacing w:before="120" w:line="360" w:lineRule="auto"/>
        <w:ind w:hanging="357"/>
        <w:contextualSpacing w:val="0"/>
        <w:jc w:val="both"/>
        <w:rPr>
          <w:rFonts w:ascii="Arial" w:hAnsi="Arial" w:cs="David"/>
        </w:rPr>
      </w:pPr>
      <w:r>
        <w:rPr>
          <w:rFonts w:ascii="Arial" w:hAnsi="Arial" w:cs="David" w:hint="cs"/>
          <w:rtl/>
        </w:rPr>
        <w:t xml:space="preserve">התיקון מנסה לשנות את האיזון שהושג בחוק בין התכלית של זירוז התכנון של מתחמים מועדפים לדיור לבין התכלית החברתית </w:t>
      </w:r>
      <w:r>
        <w:rPr>
          <w:rFonts w:ascii="Arial" w:hAnsi="Arial" w:cs="David"/>
          <w:rtl/>
        </w:rPr>
        <w:t>–</w:t>
      </w:r>
      <w:r>
        <w:rPr>
          <w:rFonts w:ascii="Arial" w:hAnsi="Arial" w:cs="David" w:hint="cs"/>
          <w:rtl/>
        </w:rPr>
        <w:t xml:space="preserve"> של בניית שכונות ב</w:t>
      </w:r>
      <w:r w:rsidR="002A3FF7">
        <w:rPr>
          <w:rFonts w:ascii="Arial" w:hAnsi="Arial" w:cs="David" w:hint="cs"/>
          <w:rtl/>
        </w:rPr>
        <w:t>ת</w:t>
      </w:r>
      <w:r>
        <w:rPr>
          <w:rFonts w:ascii="Arial" w:hAnsi="Arial" w:cs="David" w:hint="cs"/>
          <w:rtl/>
        </w:rPr>
        <w:t>מהיל חברתי מגוון, המיועדות לכל שכבות האוכלוס</w:t>
      </w:r>
      <w:r w:rsidR="002A3FF7">
        <w:rPr>
          <w:rFonts w:ascii="Arial" w:hAnsi="Arial" w:cs="David" w:hint="cs"/>
          <w:rtl/>
        </w:rPr>
        <w:t>י</w:t>
      </w:r>
      <w:r>
        <w:rPr>
          <w:rFonts w:ascii="Arial" w:hAnsi="Arial" w:cs="David" w:hint="cs"/>
          <w:rtl/>
        </w:rPr>
        <w:t>יה, ולא רק לאוכלוס</w:t>
      </w:r>
      <w:r w:rsidR="002A3FF7">
        <w:rPr>
          <w:rFonts w:ascii="Arial" w:hAnsi="Arial" w:cs="David" w:hint="cs"/>
          <w:rtl/>
        </w:rPr>
        <w:t>י</w:t>
      </w:r>
      <w:r>
        <w:rPr>
          <w:rFonts w:ascii="Arial" w:hAnsi="Arial" w:cs="David" w:hint="cs"/>
          <w:rtl/>
        </w:rPr>
        <w:t>יה אמידה.</w:t>
      </w:r>
    </w:p>
    <w:p w:rsidR="002A3FF7" w:rsidRDefault="00D71CE7" w:rsidP="002A3FF7">
      <w:pPr>
        <w:pStyle w:val="a8"/>
        <w:numPr>
          <w:ilvl w:val="0"/>
          <w:numId w:val="1"/>
        </w:numPr>
        <w:spacing w:before="120" w:line="360" w:lineRule="auto"/>
        <w:ind w:hanging="357"/>
        <w:contextualSpacing w:val="0"/>
        <w:jc w:val="both"/>
        <w:rPr>
          <w:rFonts w:ascii="Arial" w:hAnsi="Arial" w:cs="David"/>
        </w:rPr>
      </w:pPr>
      <w:r w:rsidRPr="002A3FF7">
        <w:rPr>
          <w:rFonts w:ascii="Arial" w:hAnsi="Arial" w:cs="David" w:hint="cs"/>
          <w:rtl/>
        </w:rPr>
        <w:t xml:space="preserve">עוד לפני התיקון החל קבינט הדיור לאשר מתחמים </w:t>
      </w:r>
      <w:r w:rsidR="002A3FF7" w:rsidRPr="002A3FF7">
        <w:rPr>
          <w:rFonts w:ascii="Arial" w:hAnsi="Arial" w:cs="David" w:hint="cs"/>
          <w:rtl/>
        </w:rPr>
        <w:t>תוך הפחתה של שיעור</w:t>
      </w:r>
      <w:r w:rsidRPr="002A3FF7">
        <w:rPr>
          <w:rFonts w:ascii="Arial" w:hAnsi="Arial" w:cs="David" w:hint="cs"/>
          <w:rtl/>
        </w:rPr>
        <w:t xml:space="preserve"> </w:t>
      </w:r>
      <w:r w:rsidR="002A3FF7" w:rsidRPr="002A3FF7">
        <w:rPr>
          <w:rFonts w:ascii="Arial" w:hAnsi="Arial" w:cs="David" w:hint="cs"/>
          <w:rtl/>
        </w:rPr>
        <w:t>ה</w:t>
      </w:r>
      <w:r w:rsidRPr="002A3FF7">
        <w:rPr>
          <w:rFonts w:ascii="Arial" w:hAnsi="Arial" w:cs="David" w:hint="cs"/>
          <w:rtl/>
        </w:rPr>
        <w:t>דיור להשכרה, והוא עומד היום על 24% בלבד, במקום 30% כנדרש בחוק. כשמסתכלים על המגמה ניתן לראות כי בממשלה הנוכחית אחוז הדיור להשכרה במתחמים הוא 20%. משמעות הדבר היא שכ-14 אלף יח"ד שהיו אמורות להיות להשכרה ארוכת טווח, חציין במחיר מופחת למשפחות זכאיות, נגרעו והוסבו לדיור למכירה.</w:t>
      </w:r>
      <w:r w:rsidR="002A3FF7">
        <w:rPr>
          <w:rFonts w:ascii="Arial" w:hAnsi="Arial" w:cs="David" w:hint="cs"/>
          <w:rtl/>
        </w:rPr>
        <w:t xml:space="preserve"> </w:t>
      </w:r>
      <w:r w:rsidRPr="002A3FF7">
        <w:rPr>
          <w:rFonts w:ascii="Arial" w:hAnsi="Arial" w:cs="David" w:hint="cs"/>
          <w:rtl/>
        </w:rPr>
        <w:t xml:space="preserve">התיקון מחזק מגמה </w:t>
      </w:r>
      <w:r w:rsidR="002A3FF7" w:rsidRPr="002A3FF7">
        <w:rPr>
          <w:rFonts w:ascii="Arial" w:hAnsi="Arial" w:cs="David" w:hint="cs"/>
          <w:rtl/>
        </w:rPr>
        <w:t xml:space="preserve">שלילית </w:t>
      </w:r>
      <w:r w:rsidRPr="002A3FF7">
        <w:rPr>
          <w:rFonts w:ascii="Arial" w:hAnsi="Arial" w:cs="David" w:hint="cs"/>
          <w:rtl/>
        </w:rPr>
        <w:t>זו</w:t>
      </w:r>
      <w:r w:rsidR="002A3FF7" w:rsidRPr="002A3FF7">
        <w:rPr>
          <w:rFonts w:ascii="Arial" w:hAnsi="Arial" w:cs="David" w:hint="cs"/>
          <w:rtl/>
        </w:rPr>
        <w:t>.</w:t>
      </w:r>
      <w:r w:rsidRPr="002A3FF7">
        <w:rPr>
          <w:rFonts w:ascii="Arial" w:hAnsi="Arial" w:cs="David" w:hint="cs"/>
          <w:rtl/>
        </w:rPr>
        <w:t xml:space="preserve"> </w:t>
      </w:r>
    </w:p>
    <w:p w:rsidR="00D71CE7" w:rsidRPr="002A3FF7" w:rsidRDefault="00D71CE7" w:rsidP="002A3FF7">
      <w:pPr>
        <w:pStyle w:val="a8"/>
        <w:numPr>
          <w:ilvl w:val="0"/>
          <w:numId w:val="1"/>
        </w:numPr>
        <w:spacing w:before="120" w:line="360" w:lineRule="auto"/>
        <w:ind w:hanging="357"/>
        <w:contextualSpacing w:val="0"/>
        <w:jc w:val="both"/>
        <w:rPr>
          <w:rFonts w:ascii="Arial" w:hAnsi="Arial" w:cs="David"/>
        </w:rPr>
      </w:pPr>
      <w:r w:rsidRPr="002A3FF7">
        <w:rPr>
          <w:rFonts w:ascii="Arial" w:hAnsi="Arial" w:cs="David" w:hint="cs"/>
          <w:rtl/>
        </w:rPr>
        <w:t>על כן אנו מתנגדים לסעיפים הבאים, שיש בהם לפגוע במטרות החברתיות של החוק:</w:t>
      </w:r>
    </w:p>
    <w:p w:rsidR="005E5BF7" w:rsidRPr="005E5BF7" w:rsidRDefault="005E5BF7" w:rsidP="002A3FF7">
      <w:pPr>
        <w:pStyle w:val="a8"/>
        <w:numPr>
          <w:ilvl w:val="0"/>
          <w:numId w:val="3"/>
        </w:numPr>
        <w:spacing w:before="120" w:line="360" w:lineRule="auto"/>
        <w:ind w:hanging="357"/>
        <w:contextualSpacing w:val="0"/>
        <w:jc w:val="both"/>
        <w:rPr>
          <w:rFonts w:cs="David"/>
        </w:rPr>
      </w:pPr>
      <w:r>
        <w:rPr>
          <w:rFonts w:ascii="Arial" w:hAnsi="Arial" w:cs="David" w:hint="cs"/>
          <w:rtl/>
        </w:rPr>
        <w:t xml:space="preserve">אנו מתנגדים לכוונה </w:t>
      </w:r>
      <w:proofErr w:type="spellStart"/>
      <w:r>
        <w:rPr>
          <w:rFonts w:ascii="Arial" w:hAnsi="Arial" w:cs="David" w:hint="cs"/>
          <w:rtl/>
        </w:rPr>
        <w:t>להחריג</w:t>
      </w:r>
      <w:proofErr w:type="spellEnd"/>
      <w:r>
        <w:rPr>
          <w:rFonts w:ascii="Arial" w:hAnsi="Arial" w:cs="David" w:hint="cs"/>
          <w:rtl/>
        </w:rPr>
        <w:t xml:space="preserve"> את המתחמים לפינוי בינוי שיועברו </w:t>
      </w:r>
      <w:proofErr w:type="spellStart"/>
      <w:r>
        <w:rPr>
          <w:rFonts w:ascii="Arial" w:hAnsi="Arial" w:cs="David" w:hint="cs"/>
          <w:rtl/>
        </w:rPr>
        <w:t>לותמ"ל</w:t>
      </w:r>
      <w:proofErr w:type="spellEnd"/>
      <w:r>
        <w:rPr>
          <w:rFonts w:ascii="Arial" w:hAnsi="Arial" w:cs="David" w:hint="cs"/>
          <w:rtl/>
        </w:rPr>
        <w:t xml:space="preserve"> מהחובה לשלב 30% דיור להשכרה. לפי המוצע במתחמים אלו לא תהיה כל חובה לשלב דיור להשכרה. דווקא במתחמים של פינוי בינוי קיימת חשיבות עליונה בפתרונות דיור בשכירות. </w:t>
      </w:r>
      <w:r>
        <w:rPr>
          <w:rFonts w:cs="David" w:hint="cs"/>
          <w:rtl/>
        </w:rPr>
        <w:t xml:space="preserve">מדגם שנבדק במסגרת מחקר שערך מרכז "הגר" </w:t>
      </w:r>
      <w:r w:rsidRPr="005E5BF7">
        <w:rPr>
          <w:rFonts w:cs="David" w:hint="cs"/>
          <w:rtl/>
        </w:rPr>
        <w:t>באונ' ת"א עלה כי ממוצע שוכרי דירות בפרויקטים של התחדשות עירונית עומד על 37.86%, שיעור גבוה באופן משמעותי מממוצע שוכרי דירות באוכלוסי</w:t>
      </w:r>
      <w:r w:rsidR="002A3FF7">
        <w:rPr>
          <w:rFonts w:cs="David" w:hint="cs"/>
          <w:rtl/>
        </w:rPr>
        <w:t>י</w:t>
      </w:r>
      <w:r w:rsidRPr="005E5BF7">
        <w:rPr>
          <w:rFonts w:cs="David" w:hint="cs"/>
          <w:rtl/>
        </w:rPr>
        <w:t xml:space="preserve">ה הכללית. </w:t>
      </w:r>
      <w:r>
        <w:rPr>
          <w:rFonts w:cs="David" w:hint="cs"/>
          <w:rtl/>
        </w:rPr>
        <w:t xml:space="preserve">חלק גדול משוכרי הדירות באותן שכונות ותיקות המיועדות לפינוי בינוי הם מעוטי אמצעים השוכרים דירה באמצעות סיוע בשכר דירה. דווקא בעת פיתוח המתחם הם הראשונים להידחק מהשכונה לעבר שכונות עוני אחרות והם אינם נהנים מפירות הפיתוח. על מנת למנוע הליך של </w:t>
      </w:r>
      <w:proofErr w:type="spellStart"/>
      <w:r>
        <w:rPr>
          <w:rFonts w:cs="David" w:hint="cs"/>
          <w:rtl/>
        </w:rPr>
        <w:t>ג'נטריפיקציה</w:t>
      </w:r>
      <w:proofErr w:type="spellEnd"/>
      <w:r>
        <w:rPr>
          <w:rFonts w:cs="David" w:hint="cs"/>
          <w:rtl/>
        </w:rPr>
        <w:t xml:space="preserve"> ודחיקה של תושבים עניים, הכרחי לקבוע כי במתחמי פינוי בינוי יהיה אחוז משמעותי של דיור מוסדי להשכרה ודיור בהישג יד, בהשכרה מוזלת המותאמת להכנסת הדיירים במקום.</w:t>
      </w:r>
    </w:p>
    <w:p w:rsidR="00D71CE7" w:rsidRDefault="007F51F7" w:rsidP="002A3FF7">
      <w:pPr>
        <w:pStyle w:val="a8"/>
        <w:numPr>
          <w:ilvl w:val="0"/>
          <w:numId w:val="3"/>
        </w:numPr>
        <w:spacing w:before="120" w:line="360" w:lineRule="auto"/>
        <w:ind w:hanging="357"/>
        <w:contextualSpacing w:val="0"/>
        <w:jc w:val="both"/>
        <w:rPr>
          <w:rFonts w:ascii="Arial" w:hAnsi="Arial" w:cs="David"/>
        </w:rPr>
      </w:pPr>
      <w:r>
        <w:rPr>
          <w:rFonts w:ascii="Arial" w:hAnsi="Arial" w:cs="David" w:hint="cs"/>
          <w:rtl/>
        </w:rPr>
        <w:t xml:space="preserve">אנו מתנגדים לאפשרות </w:t>
      </w:r>
      <w:proofErr w:type="spellStart"/>
      <w:r>
        <w:rPr>
          <w:rFonts w:ascii="Arial" w:hAnsi="Arial" w:cs="David" w:hint="cs"/>
          <w:rtl/>
        </w:rPr>
        <w:t>להחריג</w:t>
      </w:r>
      <w:proofErr w:type="spellEnd"/>
      <w:r>
        <w:rPr>
          <w:rFonts w:ascii="Arial" w:hAnsi="Arial" w:cs="David" w:hint="cs"/>
          <w:rtl/>
        </w:rPr>
        <w:t xml:space="preserve"> מתחמים </w:t>
      </w:r>
      <w:r w:rsidR="005E5BF7">
        <w:rPr>
          <w:rFonts w:ascii="Arial" w:hAnsi="Arial" w:cs="David" w:hint="cs"/>
          <w:rtl/>
        </w:rPr>
        <w:t xml:space="preserve">מועדפים לדיור </w:t>
      </w:r>
      <w:r>
        <w:rPr>
          <w:rFonts w:ascii="Arial" w:hAnsi="Arial" w:cs="David" w:hint="cs"/>
          <w:rtl/>
        </w:rPr>
        <w:t xml:space="preserve">במחוז צפון ובמחוז דרום </w:t>
      </w:r>
      <w:r w:rsidR="005E5BF7">
        <w:rPr>
          <w:rFonts w:ascii="Arial" w:hAnsi="Arial" w:cs="David" w:hint="cs"/>
          <w:rtl/>
        </w:rPr>
        <w:t xml:space="preserve">מהחובה ליעד 30% מהדירות להשכרה </w:t>
      </w:r>
      <w:r>
        <w:rPr>
          <w:rFonts w:ascii="Arial" w:hAnsi="Arial" w:cs="David" w:hint="cs"/>
          <w:rtl/>
        </w:rPr>
        <w:t xml:space="preserve">גם לא </w:t>
      </w:r>
      <w:r w:rsidR="005E5BF7">
        <w:rPr>
          <w:rFonts w:ascii="Arial" w:hAnsi="Arial" w:cs="David" w:hint="cs"/>
          <w:rtl/>
        </w:rPr>
        <w:t>"</w:t>
      </w:r>
      <w:r>
        <w:rPr>
          <w:rFonts w:ascii="Arial" w:hAnsi="Arial" w:cs="David" w:hint="cs"/>
          <w:rtl/>
        </w:rPr>
        <w:t xml:space="preserve">במקרים </w:t>
      </w:r>
      <w:r w:rsidR="005E5BF7">
        <w:rPr>
          <w:rFonts w:ascii="Arial" w:hAnsi="Arial" w:cs="David" w:hint="cs"/>
          <w:rtl/>
        </w:rPr>
        <w:t>חריגים", כפי שנקבע בחוק המקורי</w:t>
      </w:r>
      <w:r>
        <w:rPr>
          <w:rFonts w:ascii="Arial" w:hAnsi="Arial" w:cs="David" w:hint="cs"/>
          <w:rtl/>
        </w:rPr>
        <w:t xml:space="preserve">. סעיפי ההחרגה הקיימים כבר </w:t>
      </w:r>
      <w:r w:rsidR="005E5BF7">
        <w:rPr>
          <w:rFonts w:ascii="Arial" w:hAnsi="Arial" w:cs="David" w:hint="cs"/>
          <w:rtl/>
        </w:rPr>
        <w:t xml:space="preserve">כיום </w:t>
      </w:r>
      <w:r>
        <w:rPr>
          <w:rFonts w:ascii="Arial" w:hAnsi="Arial" w:cs="David" w:hint="cs"/>
          <w:rtl/>
        </w:rPr>
        <w:t xml:space="preserve">בחוק מאפשרים במקרים </w:t>
      </w:r>
      <w:r w:rsidR="005E5BF7">
        <w:rPr>
          <w:rFonts w:ascii="Arial" w:hAnsi="Arial" w:cs="David" w:hint="cs"/>
          <w:rtl/>
        </w:rPr>
        <w:t xml:space="preserve">חריגים </w:t>
      </w:r>
      <w:r>
        <w:rPr>
          <w:rFonts w:ascii="Arial" w:hAnsi="Arial" w:cs="David" w:hint="cs"/>
          <w:rtl/>
        </w:rPr>
        <w:t xml:space="preserve">של אי </w:t>
      </w:r>
      <w:r>
        <w:rPr>
          <w:rFonts w:ascii="Arial" w:hAnsi="Arial" w:cs="David" w:hint="cs"/>
          <w:rtl/>
        </w:rPr>
        <w:lastRenderedPageBreak/>
        <w:t>ישימות כלכלית להפחית את אחוזי ההשכרה וחיוני לוודא כי החריג לא הופ</w:t>
      </w:r>
      <w:r w:rsidR="005E5BF7">
        <w:rPr>
          <w:rFonts w:ascii="Arial" w:hAnsi="Arial" w:cs="David" w:hint="cs"/>
          <w:rtl/>
        </w:rPr>
        <w:t>ך</w:t>
      </w:r>
      <w:r>
        <w:rPr>
          <w:rFonts w:ascii="Arial" w:hAnsi="Arial" w:cs="David" w:hint="cs"/>
          <w:rtl/>
        </w:rPr>
        <w:t xml:space="preserve"> לכלל. בדיוק לשם כך נכללה במקור התיבה "במקרים חריגים".</w:t>
      </w:r>
    </w:p>
    <w:p w:rsidR="007F51F7" w:rsidRDefault="007F51F7" w:rsidP="002A3FF7">
      <w:pPr>
        <w:pStyle w:val="a8"/>
        <w:numPr>
          <w:ilvl w:val="0"/>
          <w:numId w:val="3"/>
        </w:numPr>
        <w:spacing w:before="120" w:line="360" w:lineRule="auto"/>
        <w:ind w:hanging="357"/>
        <w:contextualSpacing w:val="0"/>
        <w:jc w:val="both"/>
        <w:rPr>
          <w:rFonts w:ascii="Arial" w:hAnsi="Arial" w:cs="David"/>
        </w:rPr>
      </w:pPr>
      <w:r w:rsidRPr="007F51F7">
        <w:rPr>
          <w:rFonts w:ascii="Arial" w:hAnsi="Arial" w:cs="David" w:hint="cs"/>
          <w:rtl/>
        </w:rPr>
        <w:t xml:space="preserve">אנו מתנגדים </w:t>
      </w:r>
      <w:r>
        <w:rPr>
          <w:rFonts w:ascii="Arial" w:hAnsi="Arial" w:cs="David" w:hint="cs"/>
          <w:rtl/>
        </w:rPr>
        <w:t xml:space="preserve">נחרצות </w:t>
      </w:r>
      <w:r w:rsidRPr="007F51F7">
        <w:rPr>
          <w:rFonts w:ascii="Arial" w:hAnsi="Arial" w:cs="David" w:hint="cs"/>
          <w:rtl/>
        </w:rPr>
        <w:t xml:space="preserve">להוספת חריג לחובת שילוב דיור להשכרה, לפיו </w:t>
      </w:r>
      <w:r w:rsidRPr="007F51F7">
        <w:rPr>
          <w:rFonts w:ascii="Arial" w:hAnsi="Arial" w:cs="David"/>
          <w:rtl/>
        </w:rPr>
        <w:t xml:space="preserve">אם 80% מהדירות יימכרו במחיר מופחת (הכוונה היא לדיור למשתכן) אז ניתן להפחית אחוז הדיור להשכרה ל-15% במקום 30%. </w:t>
      </w:r>
      <w:r>
        <w:rPr>
          <w:rFonts w:ascii="Arial" w:hAnsi="Arial" w:cs="David" w:hint="cs"/>
          <w:rtl/>
        </w:rPr>
        <w:t xml:space="preserve">מדובר בסעיף דרמטי שיאפשר קיצוץ קיצוני בשיעור הדירות שייעודו להשכרה והוא נותן עדיפות מובהקת למי שמעוניינים ברכישת דירה במכרזי מחיר למשתכן, שהם בעלי הון עצמי משמעותי והכנסה בינונית וגבוהה, על פני אלו המבקשים שכירות ארוכת טווח, הנמנים על מעוטי האמצעים, שאין להם הון עצמי להיכנס למסלול רכישה. </w:t>
      </w:r>
    </w:p>
    <w:p w:rsidR="00D24D0E" w:rsidRDefault="007F51F7" w:rsidP="002A3FF7">
      <w:pPr>
        <w:pStyle w:val="a8"/>
        <w:numPr>
          <w:ilvl w:val="0"/>
          <w:numId w:val="3"/>
        </w:numPr>
        <w:spacing w:before="120" w:line="360" w:lineRule="auto"/>
        <w:ind w:hanging="357"/>
        <w:contextualSpacing w:val="0"/>
        <w:jc w:val="both"/>
        <w:rPr>
          <w:rFonts w:ascii="Arial" w:hAnsi="Arial" w:cs="David"/>
        </w:rPr>
      </w:pPr>
      <w:r>
        <w:rPr>
          <w:rFonts w:ascii="Arial" w:hAnsi="Arial" w:cs="David" w:hint="cs"/>
          <w:rtl/>
        </w:rPr>
        <w:t xml:space="preserve">אנו מתנגדים לחובת שילוב דיור להשכרה </w:t>
      </w:r>
      <w:r w:rsidR="002A3FF7">
        <w:rPr>
          <w:rFonts w:ascii="Arial" w:hAnsi="Arial" w:cs="David" w:hint="cs"/>
          <w:rtl/>
        </w:rPr>
        <w:t xml:space="preserve">בשיעור </w:t>
      </w:r>
      <w:r>
        <w:rPr>
          <w:rFonts w:ascii="Arial" w:hAnsi="Arial" w:cs="David" w:hint="cs"/>
          <w:rtl/>
        </w:rPr>
        <w:t xml:space="preserve">מופחת </w:t>
      </w:r>
      <w:r w:rsidR="002A3FF7">
        <w:rPr>
          <w:rFonts w:ascii="Arial" w:hAnsi="Arial" w:cs="David" w:hint="cs"/>
          <w:rtl/>
        </w:rPr>
        <w:t xml:space="preserve">של 15% בלבד </w:t>
      </w:r>
      <w:r>
        <w:rPr>
          <w:rFonts w:ascii="Arial" w:hAnsi="Arial" w:cs="David" w:hint="cs"/>
          <w:rtl/>
        </w:rPr>
        <w:t xml:space="preserve">במתחמים מרובי בעלים. אין הצדקה במתחמי ענק כאלו, שבהם מעל 1500 יח"ד, הנהנים ממסלול </w:t>
      </w:r>
      <w:r w:rsidR="00D24D0E">
        <w:rPr>
          <w:rFonts w:ascii="Arial" w:hAnsi="Arial" w:cs="David" w:hint="cs"/>
          <w:rtl/>
        </w:rPr>
        <w:t xml:space="preserve">מקוצר, להפחתה בדרישה לדיור להשכרה לטובת דיור למכירה, שסביר שיהיה הרבה מעבר להישג ידם של רוב האזרחים. למשל </w:t>
      </w:r>
      <w:r w:rsidR="00D24D0E">
        <w:rPr>
          <w:rFonts w:ascii="Arial" w:hAnsi="Arial" w:cs="David"/>
          <w:rtl/>
        </w:rPr>
        <w:t>–</w:t>
      </w:r>
      <w:r w:rsidR="00D24D0E">
        <w:rPr>
          <w:rFonts w:ascii="Arial" w:hAnsi="Arial" w:cs="David" w:hint="cs"/>
          <w:rtl/>
        </w:rPr>
        <w:t xml:space="preserve"> קיימת אפשרות שהתכנון של מתחם שדה דב, שטח שרובו בידי המדינה אך יש בו ריבוי בעלים יועבר </w:t>
      </w:r>
      <w:proofErr w:type="spellStart"/>
      <w:r w:rsidR="00D24D0E">
        <w:rPr>
          <w:rFonts w:ascii="Arial" w:hAnsi="Arial" w:cs="David" w:hint="cs"/>
          <w:rtl/>
        </w:rPr>
        <w:t>לותמ"ל</w:t>
      </w:r>
      <w:proofErr w:type="spellEnd"/>
      <w:r w:rsidR="00D24D0E">
        <w:rPr>
          <w:rFonts w:ascii="Arial" w:hAnsi="Arial" w:cs="David" w:hint="cs"/>
          <w:rtl/>
        </w:rPr>
        <w:t>, ואז האפשרות לקבוע בו תמהיל נכון תיפגע בשל התיקון.</w:t>
      </w:r>
    </w:p>
    <w:p w:rsidR="007F51F7" w:rsidRDefault="00EF57F9" w:rsidP="002A3FF7">
      <w:pPr>
        <w:pStyle w:val="a8"/>
        <w:numPr>
          <w:ilvl w:val="0"/>
          <w:numId w:val="3"/>
        </w:numPr>
        <w:spacing w:before="120" w:line="360" w:lineRule="auto"/>
        <w:ind w:hanging="357"/>
        <w:contextualSpacing w:val="0"/>
        <w:jc w:val="both"/>
        <w:rPr>
          <w:rFonts w:ascii="Arial" w:hAnsi="Arial" w:cs="David"/>
        </w:rPr>
      </w:pPr>
      <w:r>
        <w:rPr>
          <w:rFonts w:ascii="Arial" w:hAnsi="Arial" w:cs="David" w:hint="cs"/>
          <w:rtl/>
        </w:rPr>
        <w:t xml:space="preserve">אנו מתנגדים לקביעה כי דיור להשכרה במחיר מופחת הוא בשיעור של 20% מתחת למחיר של דירות דומות </w:t>
      </w:r>
      <w:r w:rsidR="005E5BF7">
        <w:rPr>
          <w:rFonts w:ascii="Arial" w:hAnsi="Arial" w:cs="David" w:hint="cs"/>
          <w:rtl/>
        </w:rPr>
        <w:t>ה</w:t>
      </w:r>
      <w:r>
        <w:rPr>
          <w:rFonts w:ascii="Arial" w:hAnsi="Arial" w:cs="David" w:hint="cs"/>
          <w:rtl/>
        </w:rPr>
        <w:t>מושכרות במחיר השוק. יש לקבוע את המחיר בהתאם להכנסה הממוצעות של עשירון ההכנסה שלו מיועדות הדירות, שכן קביעת הנח</w:t>
      </w:r>
      <w:r w:rsidR="00392EE9">
        <w:rPr>
          <w:rFonts w:ascii="Arial" w:hAnsi="Arial" w:cs="David" w:hint="cs"/>
          <w:rtl/>
        </w:rPr>
        <w:t>ה באזורים יקרים אינה מאפשרת יצי</w:t>
      </w:r>
      <w:r>
        <w:rPr>
          <w:rFonts w:ascii="Arial" w:hAnsi="Arial" w:cs="David" w:hint="cs"/>
          <w:rtl/>
        </w:rPr>
        <w:t xml:space="preserve">רת תמהיל מגורים מגוון ומנציחה את הריבוד החברתי. </w:t>
      </w:r>
      <w:r w:rsidR="00392EE9">
        <w:rPr>
          <w:rFonts w:ascii="Arial" w:hAnsi="Arial" w:cs="David" w:hint="cs"/>
          <w:rtl/>
        </w:rPr>
        <w:t xml:space="preserve">הניסיון ממכרזי ההשכרה של </w:t>
      </w:r>
      <w:r w:rsidR="002A3FF7">
        <w:rPr>
          <w:rFonts w:ascii="Arial" w:hAnsi="Arial" w:cs="David" w:hint="cs"/>
          <w:rtl/>
        </w:rPr>
        <w:t>"</w:t>
      </w:r>
      <w:r w:rsidR="00392EE9">
        <w:rPr>
          <w:rFonts w:ascii="Arial" w:hAnsi="Arial" w:cs="David" w:hint="cs"/>
          <w:rtl/>
        </w:rPr>
        <w:t>דירה להשכיר</w:t>
      </w:r>
      <w:r w:rsidR="002A3FF7">
        <w:rPr>
          <w:rFonts w:ascii="Arial" w:hAnsi="Arial" w:cs="David" w:hint="cs"/>
          <w:rtl/>
        </w:rPr>
        <w:t>"</w:t>
      </w:r>
      <w:r w:rsidR="00392EE9">
        <w:rPr>
          <w:rFonts w:ascii="Arial" w:hAnsi="Arial" w:cs="David" w:hint="cs"/>
          <w:rtl/>
        </w:rPr>
        <w:t xml:space="preserve"> מצביע</w:t>
      </w:r>
      <w:r w:rsidR="002A3FF7">
        <w:rPr>
          <w:rFonts w:ascii="Arial" w:hAnsi="Arial" w:cs="David" w:hint="cs"/>
          <w:rtl/>
        </w:rPr>
        <w:t>,</w:t>
      </w:r>
      <w:r w:rsidR="00392EE9">
        <w:rPr>
          <w:rFonts w:ascii="Arial" w:hAnsi="Arial" w:cs="David" w:hint="cs"/>
          <w:rtl/>
        </w:rPr>
        <w:t xml:space="preserve"> כי דיור להשכרה שהוצע בהנחה של 20</w:t>
      </w:r>
      <w:r w:rsidR="005E5BF7">
        <w:rPr>
          <w:rFonts w:ascii="Arial" w:hAnsi="Arial" w:cs="David" w:hint="cs"/>
          <w:rtl/>
        </w:rPr>
        <w:t>%</w:t>
      </w:r>
      <w:r w:rsidR="00392EE9">
        <w:rPr>
          <w:rFonts w:ascii="Arial" w:hAnsi="Arial" w:cs="David" w:hint="cs"/>
          <w:rtl/>
        </w:rPr>
        <w:t xml:space="preserve"> ממחיר השוק הושכר במחיר שהתאים לעשירונים העליונים בלבד, למרות שנדרש סבסוד ניכר כדי לייצרו. </w:t>
      </w:r>
    </w:p>
    <w:p w:rsidR="00392EE9" w:rsidRDefault="00392EE9" w:rsidP="002A3FF7">
      <w:pPr>
        <w:pStyle w:val="a8"/>
        <w:numPr>
          <w:ilvl w:val="0"/>
          <w:numId w:val="3"/>
        </w:numPr>
        <w:spacing w:before="120" w:line="360" w:lineRule="auto"/>
        <w:ind w:hanging="357"/>
        <w:contextualSpacing w:val="0"/>
        <w:jc w:val="both"/>
        <w:rPr>
          <w:rFonts w:cs="David"/>
        </w:rPr>
      </w:pPr>
      <w:r>
        <w:rPr>
          <w:rFonts w:ascii="Arial" w:hAnsi="Arial" w:cs="David" w:hint="cs"/>
          <w:rtl/>
        </w:rPr>
        <w:t>אנו סבורים כי יש לקבוע שבנוסף לדיור להשכרה ארוכת טווח 5% מיחידות</w:t>
      </w:r>
      <w:r w:rsidR="005E5BF7">
        <w:rPr>
          <w:rFonts w:ascii="Arial" w:hAnsi="Arial" w:cs="David" w:hint="cs"/>
          <w:rtl/>
        </w:rPr>
        <w:t xml:space="preserve"> </w:t>
      </w:r>
      <w:r>
        <w:rPr>
          <w:rFonts w:ascii="Arial" w:hAnsi="Arial" w:cs="David" w:hint="cs"/>
          <w:rtl/>
        </w:rPr>
        <w:t xml:space="preserve">הדיור במתחם מועדף לדיור יירשמו על שם משרד הבינוי והשיכון וייעודו להגדלת מאגר הדיור הציבורי. דבר זה </w:t>
      </w:r>
      <w:r w:rsidR="00A62635">
        <w:rPr>
          <w:rFonts w:ascii="Arial" w:hAnsi="Arial" w:cs="David" w:hint="cs"/>
          <w:rtl/>
        </w:rPr>
        <w:t>יתרום</w:t>
      </w:r>
      <w:r>
        <w:rPr>
          <w:rFonts w:ascii="Arial" w:hAnsi="Arial" w:cs="David" w:hint="cs"/>
          <w:rtl/>
        </w:rPr>
        <w:t xml:space="preserve"> </w:t>
      </w:r>
      <w:r w:rsidR="00A62635">
        <w:rPr>
          <w:rFonts w:ascii="Arial" w:hAnsi="Arial" w:cs="David" w:hint="cs"/>
          <w:rtl/>
        </w:rPr>
        <w:t>ל</w:t>
      </w:r>
      <w:r>
        <w:rPr>
          <w:rFonts w:ascii="Arial" w:hAnsi="Arial" w:cs="David" w:hint="cs"/>
          <w:rtl/>
        </w:rPr>
        <w:t>שינו</w:t>
      </w:r>
      <w:r w:rsidR="005E5BF7">
        <w:rPr>
          <w:rFonts w:ascii="Arial" w:hAnsi="Arial" w:cs="David" w:hint="cs"/>
          <w:rtl/>
        </w:rPr>
        <w:t>י</w:t>
      </w:r>
      <w:r>
        <w:rPr>
          <w:rFonts w:ascii="Arial" w:hAnsi="Arial" w:cs="David" w:hint="cs"/>
          <w:rtl/>
        </w:rPr>
        <w:t xml:space="preserve"> דרמטי ב</w:t>
      </w:r>
      <w:r w:rsidR="00A62635">
        <w:rPr>
          <w:rFonts w:ascii="Arial" w:hAnsi="Arial" w:cs="David" w:hint="cs"/>
          <w:rtl/>
        </w:rPr>
        <w:t xml:space="preserve">הפחתת </w:t>
      </w:r>
      <w:r>
        <w:rPr>
          <w:rFonts w:ascii="Arial" w:hAnsi="Arial" w:cs="David" w:hint="cs"/>
          <w:rtl/>
        </w:rPr>
        <w:t>מצוקת הדיירים</w:t>
      </w:r>
      <w:r w:rsidR="00A62635">
        <w:rPr>
          <w:rFonts w:ascii="Arial" w:hAnsi="Arial" w:cs="David" w:hint="cs"/>
          <w:rtl/>
        </w:rPr>
        <w:t>, שהם</w:t>
      </w:r>
      <w:r>
        <w:rPr>
          <w:rFonts w:ascii="Arial" w:hAnsi="Arial" w:cs="David" w:hint="cs"/>
          <w:rtl/>
        </w:rPr>
        <w:t xml:space="preserve"> החלשים ביותר בחברה מבחינה כלכלית</w:t>
      </w:r>
      <w:r w:rsidR="00A62635">
        <w:rPr>
          <w:rFonts w:ascii="Arial" w:hAnsi="Arial" w:cs="David" w:hint="cs"/>
          <w:rtl/>
        </w:rPr>
        <w:t>,</w:t>
      </w:r>
      <w:r>
        <w:rPr>
          <w:rFonts w:ascii="Arial" w:hAnsi="Arial" w:cs="David" w:hint="cs"/>
          <w:rtl/>
        </w:rPr>
        <w:t xml:space="preserve"> ויאפשר הרחבת מעגל הזכאים </w:t>
      </w:r>
      <w:r>
        <w:rPr>
          <w:rFonts w:ascii="Arial" w:hAnsi="Arial" w:cs="David"/>
          <w:rtl/>
        </w:rPr>
        <w:t>–</w:t>
      </w:r>
      <w:r>
        <w:rPr>
          <w:rFonts w:ascii="Arial" w:hAnsi="Arial" w:cs="David" w:hint="cs"/>
          <w:rtl/>
        </w:rPr>
        <w:t xml:space="preserve"> והכל תוך שילוב</w:t>
      </w:r>
      <w:r w:rsidR="00A62635">
        <w:rPr>
          <w:rFonts w:ascii="Arial" w:hAnsi="Arial" w:cs="David" w:hint="cs"/>
          <w:rtl/>
        </w:rPr>
        <w:t xml:space="preserve"> הזכאים</w:t>
      </w:r>
      <w:r>
        <w:rPr>
          <w:rFonts w:ascii="Arial" w:hAnsi="Arial" w:cs="David" w:hint="cs"/>
          <w:rtl/>
        </w:rPr>
        <w:t xml:space="preserve"> בשכונות חדשות והימנעות מריכוזי עוני חדשים.</w:t>
      </w:r>
    </w:p>
    <w:p w:rsidR="00A62635" w:rsidRDefault="00A62635" w:rsidP="00A62635">
      <w:pPr>
        <w:pStyle w:val="NormalWeb"/>
        <w:bidi/>
        <w:spacing w:before="0" w:beforeAutospacing="0" w:after="90" w:afterAutospacing="0" w:line="290" w:lineRule="atLeast"/>
        <w:ind w:left="4320"/>
        <w:jc w:val="both"/>
        <w:rPr>
          <w:rFonts w:cs="David"/>
          <w:rtl/>
        </w:rPr>
      </w:pPr>
    </w:p>
    <w:p w:rsidR="007D7640" w:rsidRDefault="00A62635" w:rsidP="00A62635">
      <w:pPr>
        <w:pStyle w:val="NormalWeb"/>
        <w:bidi/>
        <w:spacing w:before="0" w:beforeAutospacing="0" w:after="90" w:afterAutospacing="0" w:line="290" w:lineRule="atLeast"/>
        <w:ind w:left="4320"/>
        <w:jc w:val="both"/>
        <w:rPr>
          <w:rFonts w:cs="David"/>
          <w:rtl/>
        </w:rPr>
      </w:pPr>
      <w:r>
        <w:rPr>
          <w:rFonts w:cs="David" w:hint="cs"/>
          <w:rtl/>
        </w:rPr>
        <w:t>בכבוד רב,</w:t>
      </w:r>
    </w:p>
    <w:p w:rsidR="00A62635" w:rsidRDefault="00A62635" w:rsidP="00A62635">
      <w:pPr>
        <w:pStyle w:val="NormalWeb"/>
        <w:bidi/>
        <w:spacing w:before="0" w:beforeAutospacing="0" w:after="90" w:afterAutospacing="0" w:line="290" w:lineRule="atLeast"/>
        <w:ind w:left="4320"/>
        <w:jc w:val="both"/>
        <w:rPr>
          <w:rFonts w:cs="David"/>
          <w:rtl/>
        </w:rPr>
      </w:pPr>
      <w:r>
        <w:rPr>
          <w:rFonts w:cs="David" w:hint="cs"/>
          <w:noProof/>
          <w:rtl/>
        </w:rPr>
        <w:drawing>
          <wp:inline distT="0" distB="0" distL="0" distR="0">
            <wp:extent cx="520204" cy="284672"/>
            <wp:effectExtent l="0" t="0" r="0" b="127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תימה.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0172" cy="284655"/>
                    </a:xfrm>
                    <a:prstGeom prst="rect">
                      <a:avLst/>
                    </a:prstGeom>
                  </pic:spPr>
                </pic:pic>
              </a:graphicData>
            </a:graphic>
          </wp:inline>
        </w:drawing>
      </w:r>
    </w:p>
    <w:p w:rsidR="00A62635" w:rsidRDefault="00A62635" w:rsidP="00A62635">
      <w:pPr>
        <w:pStyle w:val="NormalWeb"/>
        <w:bidi/>
        <w:spacing w:before="0" w:beforeAutospacing="0" w:after="90" w:afterAutospacing="0" w:line="290" w:lineRule="atLeast"/>
        <w:ind w:left="4320"/>
        <w:jc w:val="both"/>
        <w:rPr>
          <w:rStyle w:val="Hyperlink"/>
          <w:rtl/>
        </w:rPr>
      </w:pPr>
      <w:r>
        <w:rPr>
          <w:rFonts w:cs="David" w:hint="cs"/>
          <w:rtl/>
        </w:rPr>
        <w:t>גיל גן-מור, עו"ד</w:t>
      </w:r>
    </w:p>
    <w:p w:rsidR="00A62635" w:rsidRPr="00A62635" w:rsidRDefault="00A62635" w:rsidP="00A62635">
      <w:pPr>
        <w:pStyle w:val="a8"/>
        <w:spacing w:before="120" w:line="360" w:lineRule="auto"/>
        <w:jc w:val="both"/>
        <w:rPr>
          <w:rFonts w:ascii="Arial" w:hAnsi="Arial" w:cs="David"/>
          <w:rtl/>
        </w:rPr>
      </w:pPr>
      <w:r w:rsidRPr="00A62635">
        <w:rPr>
          <w:rFonts w:ascii="Arial" w:hAnsi="Arial" w:cs="David" w:hint="cs"/>
          <w:rtl/>
        </w:rPr>
        <w:t>העתק: חברי הוועדה</w:t>
      </w:r>
    </w:p>
    <w:sectPr w:rsidR="00A62635" w:rsidRPr="00A62635" w:rsidSect="000A76FA">
      <w:headerReference w:type="even" r:id="rId8"/>
      <w:headerReference w:type="default" r:id="rId9"/>
      <w:footerReference w:type="default" r:id="rId10"/>
      <w:headerReference w:type="first" r:id="rId11"/>
      <w:footerReference w:type="first" r:id="rId12"/>
      <w:pgSz w:w="11906" w:h="16838" w:code="9"/>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D69" w:rsidRDefault="003B6D69">
      <w:r>
        <w:separator/>
      </w:r>
    </w:p>
  </w:endnote>
  <w:endnote w:type="continuationSeparator" w:id="0">
    <w:p w:rsidR="003B6D69" w:rsidRDefault="003B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altName w:val="Davka 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45" w:rsidRDefault="009A5C45" w:rsidP="00721150">
    <w:pPr>
      <w:pStyle w:val="a4"/>
      <w:pBdr>
        <w:bottom w:val="single" w:sz="6" w:space="1" w:color="auto"/>
      </w:pBdr>
      <w:rPr>
        <w:rtl/>
      </w:rPr>
    </w:pPr>
  </w:p>
  <w:p w:rsidR="009A5C45" w:rsidRPr="000A76FA" w:rsidRDefault="009A5C45" w:rsidP="00721150">
    <w:pPr>
      <w:pStyle w:val="a4"/>
      <w:jc w:val="center"/>
      <w:rPr>
        <w:rFonts w:ascii="Arial" w:hAnsi="Arial" w:cs="Arial"/>
        <w:sz w:val="20"/>
        <w:szCs w:val="20"/>
        <w:rtl/>
      </w:rPr>
    </w:pPr>
    <w:r w:rsidRPr="000A76FA">
      <w:rPr>
        <w:rFonts w:ascii="Arial" w:hAnsi="Arial" w:cs="Arial"/>
        <w:sz w:val="20"/>
        <w:szCs w:val="20"/>
        <w:rtl/>
      </w:rPr>
      <w:t>האגודה לזכויות האזרח, נחלת בנימין 75 תל אביב, טל': 03-5608185, פקס: 03-5608165</w:t>
    </w:r>
  </w:p>
  <w:p w:rsidR="009A5C45" w:rsidRPr="000A76FA" w:rsidRDefault="009A5C45" w:rsidP="00FE5710">
    <w:pPr>
      <w:pStyle w:val="a4"/>
      <w:jc w:val="center"/>
      <w:rPr>
        <w:rFonts w:ascii="Arial" w:hAnsi="Arial" w:cs="Arial"/>
        <w:sz w:val="20"/>
        <w:szCs w:val="20"/>
      </w:rPr>
    </w:pPr>
    <w:r w:rsidRPr="000A76FA">
      <w:rPr>
        <w:rFonts w:ascii="Arial" w:hAnsi="Arial" w:cs="Arial"/>
        <w:sz w:val="20"/>
        <w:szCs w:val="20"/>
        <w:rtl/>
      </w:rPr>
      <w:t xml:space="preserve">אתר: </w:t>
    </w:r>
    <w:hyperlink r:id="rId1" w:history="1">
      <w:r w:rsidRPr="000A76FA">
        <w:rPr>
          <w:rStyle w:val="Hyperlink"/>
          <w:rFonts w:ascii="Arial" w:hAnsi="Arial"/>
          <w:sz w:val="20"/>
        </w:rPr>
        <w:t>www.acri.org.il</w:t>
      </w:r>
    </w:hyperlink>
    <w:r w:rsidRPr="000A76FA">
      <w:rPr>
        <w:rFonts w:ascii="Arial" w:hAnsi="Arial" w:cs="Arial"/>
        <w:sz w:val="20"/>
        <w:szCs w:val="20"/>
        <w:rtl/>
      </w:rPr>
      <w:t xml:space="preserve">, </w:t>
    </w:r>
    <w:r w:rsidR="00FE5710">
      <w:rPr>
        <w:rFonts w:ascii="Arial" w:hAnsi="Arial" w:cs="Arial" w:hint="cs"/>
        <w:sz w:val="20"/>
        <w:szCs w:val="20"/>
        <w:rtl/>
      </w:rPr>
      <w:t>דוא"ל</w:t>
    </w:r>
    <w:r w:rsidRPr="000A76FA">
      <w:rPr>
        <w:rFonts w:ascii="Arial" w:hAnsi="Arial" w:cs="Arial"/>
        <w:sz w:val="20"/>
        <w:szCs w:val="20"/>
        <w:rtl/>
      </w:rPr>
      <w:t xml:space="preserve">: </w:t>
    </w:r>
    <w:hyperlink r:id="rId2" w:history="1">
      <w:r w:rsidR="00FE5710">
        <w:rPr>
          <w:rStyle w:val="Hyperlink"/>
          <w:rFonts w:ascii="Arial" w:hAnsi="Arial"/>
          <w:sz w:val="20"/>
        </w:rPr>
        <w:t>gil</w:t>
      </w:r>
      <w:r w:rsidRPr="00752CF6">
        <w:rPr>
          <w:rStyle w:val="Hyperlink"/>
          <w:rFonts w:ascii="Arial" w:hAnsi="Arial"/>
          <w:sz w:val="20"/>
        </w:rPr>
        <w:t>@acri.org.il</w:t>
      </w:r>
    </w:hyperlink>
  </w:p>
  <w:p w:rsidR="009A5C45" w:rsidRPr="00721150" w:rsidRDefault="009A5C4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45" w:rsidRDefault="009A5C45">
    <w:pPr>
      <w:pStyle w:val="a4"/>
      <w:pBdr>
        <w:bottom w:val="single" w:sz="6" w:space="1" w:color="auto"/>
      </w:pBdr>
      <w:rPr>
        <w:rtl/>
      </w:rPr>
    </w:pPr>
  </w:p>
  <w:p w:rsidR="009A5C45" w:rsidRPr="000A76FA" w:rsidRDefault="009A5C45" w:rsidP="000A76FA">
    <w:pPr>
      <w:pStyle w:val="a4"/>
      <w:jc w:val="center"/>
      <w:rPr>
        <w:rFonts w:ascii="Arial" w:hAnsi="Arial" w:cs="Arial"/>
        <w:sz w:val="20"/>
        <w:szCs w:val="20"/>
        <w:rtl/>
      </w:rPr>
    </w:pPr>
    <w:r w:rsidRPr="000A76FA">
      <w:rPr>
        <w:rFonts w:ascii="Arial" w:hAnsi="Arial" w:cs="Arial"/>
        <w:sz w:val="20"/>
        <w:szCs w:val="20"/>
        <w:rtl/>
      </w:rPr>
      <w:t>האגודה לזכויות האזרח</w:t>
    </w:r>
    <w:r>
      <w:rPr>
        <w:rFonts w:ascii="Arial" w:hAnsi="Arial" w:cs="Arial" w:hint="cs"/>
        <w:sz w:val="20"/>
        <w:szCs w:val="20"/>
        <w:rtl/>
      </w:rPr>
      <w:t xml:space="preserve"> בישראל (</w:t>
    </w:r>
    <w:proofErr w:type="spellStart"/>
    <w:r>
      <w:rPr>
        <w:rFonts w:ascii="Arial" w:hAnsi="Arial" w:cs="Arial" w:hint="cs"/>
        <w:sz w:val="20"/>
        <w:szCs w:val="20"/>
        <w:rtl/>
      </w:rPr>
      <w:t>ע"ר</w:t>
    </w:r>
    <w:proofErr w:type="spellEnd"/>
    <w:r>
      <w:rPr>
        <w:rFonts w:ascii="Arial" w:hAnsi="Arial" w:cs="Arial" w:hint="cs"/>
        <w:sz w:val="20"/>
        <w:szCs w:val="20"/>
        <w:rtl/>
      </w:rPr>
      <w:t>)</w:t>
    </w:r>
    <w:r w:rsidRPr="000A76FA">
      <w:rPr>
        <w:rFonts w:ascii="Arial" w:hAnsi="Arial" w:cs="Arial"/>
        <w:sz w:val="20"/>
        <w:szCs w:val="20"/>
        <w:rtl/>
      </w:rPr>
      <w:t>, נחלת בנימין 75 תל אביב, טל': 03-5608185, פקס: 03-5608165</w:t>
    </w:r>
  </w:p>
  <w:p w:rsidR="009A5C45" w:rsidRPr="000A76FA" w:rsidRDefault="00FE5710" w:rsidP="00FE5710">
    <w:pPr>
      <w:pStyle w:val="a4"/>
      <w:jc w:val="center"/>
      <w:rPr>
        <w:rFonts w:ascii="Arial" w:hAnsi="Arial" w:cs="Arial"/>
        <w:sz w:val="20"/>
        <w:szCs w:val="20"/>
      </w:rPr>
    </w:pPr>
    <w:r>
      <w:rPr>
        <w:rFonts w:ascii="Arial" w:hAnsi="Arial" w:cs="Arial"/>
        <w:sz w:val="20"/>
        <w:szCs w:val="20"/>
      </w:rPr>
      <w:t xml:space="preserve"> </w:t>
    </w:r>
    <w:r>
      <w:rPr>
        <w:rFonts w:ascii="Arial" w:hAnsi="Arial" w:cs="Arial" w:hint="cs"/>
        <w:sz w:val="20"/>
        <w:szCs w:val="20"/>
        <w:rtl/>
      </w:rPr>
      <w:t xml:space="preserve">אתר: </w:t>
    </w:r>
    <w:hyperlink r:id="rId1" w:history="1">
      <w:r w:rsidR="009A5C45" w:rsidRPr="000A76FA">
        <w:rPr>
          <w:rStyle w:val="Hyperlink"/>
          <w:rFonts w:ascii="Arial" w:hAnsi="Arial"/>
          <w:sz w:val="20"/>
        </w:rPr>
        <w:t>www.acri.org.il</w:t>
      </w:r>
    </w:hyperlink>
    <w:r w:rsidR="009A5C45" w:rsidRPr="000A76FA">
      <w:rPr>
        <w:rFonts w:ascii="Arial" w:hAnsi="Arial" w:cs="Arial"/>
        <w:sz w:val="20"/>
        <w:szCs w:val="20"/>
        <w:rtl/>
      </w:rPr>
      <w:t xml:space="preserve">, </w:t>
    </w:r>
    <w:r>
      <w:rPr>
        <w:rFonts w:ascii="Arial" w:hAnsi="Arial" w:cs="Arial" w:hint="cs"/>
        <w:sz w:val="20"/>
        <w:szCs w:val="20"/>
        <w:rtl/>
      </w:rPr>
      <w:t>דוא"ל</w:t>
    </w:r>
    <w:r w:rsidR="009A5C45" w:rsidRPr="000A76FA">
      <w:rPr>
        <w:rFonts w:ascii="Arial" w:hAnsi="Arial" w:cs="Arial"/>
        <w:sz w:val="20"/>
        <w:szCs w:val="20"/>
        <w:rtl/>
      </w:rPr>
      <w:t xml:space="preserve">: </w:t>
    </w:r>
    <w:hyperlink r:id="rId2" w:history="1">
      <w:r w:rsidR="009B10D1">
        <w:rPr>
          <w:rStyle w:val="Hyperlink"/>
          <w:rFonts w:ascii="Arial" w:hAnsi="Arial"/>
          <w:sz w:val="20"/>
        </w:rPr>
        <w:t>gil</w:t>
      </w:r>
      <w:r w:rsidR="009A5C45" w:rsidRPr="00752CF6">
        <w:rPr>
          <w:rStyle w:val="Hyperlink"/>
          <w:rFonts w:ascii="Arial" w:hAnsi="Arial"/>
          <w:sz w:val="20"/>
        </w:rPr>
        <w:t>@acri.org.il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D69" w:rsidRDefault="003B6D69">
      <w:r>
        <w:separator/>
      </w:r>
    </w:p>
  </w:footnote>
  <w:footnote w:type="continuationSeparator" w:id="0">
    <w:p w:rsidR="003B6D69" w:rsidRDefault="003B6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10" w:rsidRDefault="00FE5710" w:rsidP="00E40103">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FE5710" w:rsidRDefault="00FE57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10" w:rsidRDefault="00FE5710" w:rsidP="00E40103">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C2610D">
      <w:rPr>
        <w:rStyle w:val="a5"/>
        <w:noProof/>
        <w:rtl/>
      </w:rPr>
      <w:t>2</w:t>
    </w:r>
    <w:r>
      <w:rPr>
        <w:rStyle w:val="a5"/>
        <w:rtl/>
      </w:rPr>
      <w:fldChar w:fldCharType="end"/>
    </w:r>
  </w:p>
  <w:p w:rsidR="00FE5710" w:rsidRDefault="00FE571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45" w:rsidRDefault="003F7424" w:rsidP="000A76FA">
    <w:pPr>
      <w:pStyle w:val="a3"/>
      <w:jc w:val="center"/>
    </w:pPr>
    <w:r>
      <w:rPr>
        <w:noProof/>
      </w:rPr>
      <w:drawing>
        <wp:inline distT="0" distB="0" distL="0" distR="0" wp14:anchorId="20367DE8" wp14:editId="6588E2DA">
          <wp:extent cx="3752850" cy="8001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BEA"/>
    <w:multiLevelType w:val="hybridMultilevel"/>
    <w:tmpl w:val="99FA7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7A6B94"/>
    <w:multiLevelType w:val="hybridMultilevel"/>
    <w:tmpl w:val="90C8EA6C"/>
    <w:lvl w:ilvl="0" w:tplc="A32676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F016B5"/>
    <w:multiLevelType w:val="hybridMultilevel"/>
    <w:tmpl w:val="F9C80ACC"/>
    <w:lvl w:ilvl="0" w:tplc="7AEE6B1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66"/>
    <w:rsid w:val="000A6C59"/>
    <w:rsid w:val="000A76FA"/>
    <w:rsid w:val="000D5353"/>
    <w:rsid w:val="001816E3"/>
    <w:rsid w:val="00184227"/>
    <w:rsid w:val="001F50E3"/>
    <w:rsid w:val="002A3FF7"/>
    <w:rsid w:val="00307A93"/>
    <w:rsid w:val="00392EE9"/>
    <w:rsid w:val="003B6D69"/>
    <w:rsid w:val="003D51A9"/>
    <w:rsid w:val="003F7424"/>
    <w:rsid w:val="0043516C"/>
    <w:rsid w:val="005E5BF7"/>
    <w:rsid w:val="00721150"/>
    <w:rsid w:val="007D7640"/>
    <w:rsid w:val="007F51F7"/>
    <w:rsid w:val="00944B3C"/>
    <w:rsid w:val="0096070F"/>
    <w:rsid w:val="009A5C45"/>
    <w:rsid w:val="009B0F14"/>
    <w:rsid w:val="009B10D1"/>
    <w:rsid w:val="009C7FF3"/>
    <w:rsid w:val="00A62635"/>
    <w:rsid w:val="00AD1487"/>
    <w:rsid w:val="00AE21DB"/>
    <w:rsid w:val="00B23000"/>
    <w:rsid w:val="00B94776"/>
    <w:rsid w:val="00BE73D3"/>
    <w:rsid w:val="00C2610D"/>
    <w:rsid w:val="00CB7F63"/>
    <w:rsid w:val="00D141FD"/>
    <w:rsid w:val="00D249A5"/>
    <w:rsid w:val="00D24D0E"/>
    <w:rsid w:val="00D71CE7"/>
    <w:rsid w:val="00D72F66"/>
    <w:rsid w:val="00E40103"/>
    <w:rsid w:val="00EC0073"/>
    <w:rsid w:val="00EF57F9"/>
    <w:rsid w:val="00F05BF3"/>
    <w:rsid w:val="00FE57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B52F3-CC0C-4A46-BB01-8B5341A2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next w:val="a"/>
    <w:qFormat/>
    <w:rsid w:val="00944B3C"/>
    <w:pPr>
      <w:keepNext/>
      <w:spacing w:before="240" w:after="60"/>
      <w:outlineLvl w:val="0"/>
    </w:pPr>
    <w:rPr>
      <w:rFonts w:ascii="Arial" w:hAnsi="Arial" w:cs="Arial"/>
      <w:b/>
      <w:bCs/>
      <w:kern w:val="32"/>
      <w:sz w:val="32"/>
      <w:szCs w:val="32"/>
    </w:rPr>
  </w:style>
  <w:style w:type="paragraph" w:styleId="3">
    <w:name w:val="heading 3"/>
    <w:basedOn w:val="a"/>
    <w:next w:val="a"/>
    <w:autoRedefine/>
    <w:qFormat/>
    <w:rsid w:val="009C7FF3"/>
    <w:pPr>
      <w:keepNext/>
      <w:spacing w:before="240" w:after="60"/>
      <w:outlineLvl w:val="2"/>
    </w:pPr>
    <w:rPr>
      <w:rFonts w:ascii="Arial" w:hAnsi="Arial" w:cs="Tahoma"/>
      <w:b/>
      <w:bCs/>
      <w:noProof/>
      <w:sz w:val="26"/>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2heb">
    <w:name w:val="head2heb"/>
    <w:basedOn w:val="a"/>
    <w:rsid w:val="00D249A5"/>
    <w:pPr>
      <w:spacing w:after="240" w:line="360" w:lineRule="auto"/>
    </w:pPr>
    <w:rPr>
      <w:rFonts w:ascii="Tahoma" w:hAnsi="Tahoma" w:cs="Tahoma"/>
      <w:b/>
      <w:bCs/>
      <w:sz w:val="22"/>
      <w:szCs w:val="22"/>
      <w:u w:val="single"/>
    </w:rPr>
  </w:style>
  <w:style w:type="paragraph" w:customStyle="1" w:styleId="StyleHeading1">
    <w:name w:val="Style Heading 1 +"/>
    <w:basedOn w:val="1"/>
    <w:autoRedefine/>
    <w:rsid w:val="00944B3C"/>
    <w:pPr>
      <w:keepNext w:val="0"/>
      <w:spacing w:before="120" w:after="0" w:line="360" w:lineRule="auto"/>
    </w:pPr>
    <w:rPr>
      <w:rFonts w:ascii="Times New Roman" w:hAnsi="Times New Roman" w:cs="David"/>
      <w:kern w:val="36"/>
      <w:sz w:val="48"/>
      <w:szCs w:val="28"/>
    </w:rPr>
  </w:style>
  <w:style w:type="character" w:styleId="Hyperlink">
    <w:name w:val="Hyperlink"/>
    <w:basedOn w:val="a0"/>
    <w:uiPriority w:val="99"/>
    <w:rsid w:val="00EC0073"/>
    <w:rPr>
      <w:rFonts w:cs="Arial"/>
      <w:color w:val="0000FF"/>
      <w:szCs w:val="20"/>
      <w:u w:val="single" w:color="0000FF"/>
    </w:rPr>
  </w:style>
  <w:style w:type="paragraph" w:styleId="a3">
    <w:name w:val="header"/>
    <w:basedOn w:val="a"/>
    <w:rsid w:val="000A76FA"/>
    <w:pPr>
      <w:tabs>
        <w:tab w:val="center" w:pos="4153"/>
        <w:tab w:val="right" w:pos="8306"/>
      </w:tabs>
    </w:pPr>
  </w:style>
  <w:style w:type="paragraph" w:styleId="a4">
    <w:name w:val="footer"/>
    <w:basedOn w:val="a"/>
    <w:rsid w:val="000A76FA"/>
    <w:pPr>
      <w:tabs>
        <w:tab w:val="center" w:pos="4153"/>
        <w:tab w:val="right" w:pos="8306"/>
      </w:tabs>
    </w:pPr>
  </w:style>
  <w:style w:type="character" w:styleId="a5">
    <w:name w:val="page number"/>
    <w:basedOn w:val="a0"/>
    <w:rsid w:val="00FE5710"/>
  </w:style>
  <w:style w:type="paragraph" w:styleId="a6">
    <w:name w:val="Balloon Text"/>
    <w:basedOn w:val="a"/>
    <w:link w:val="a7"/>
    <w:rsid w:val="0043516C"/>
    <w:rPr>
      <w:rFonts w:ascii="Tahoma" w:hAnsi="Tahoma" w:cs="Tahoma"/>
      <w:sz w:val="16"/>
      <w:szCs w:val="16"/>
    </w:rPr>
  </w:style>
  <w:style w:type="character" w:customStyle="1" w:styleId="a7">
    <w:name w:val="טקסט בלונים תו"/>
    <w:basedOn w:val="a0"/>
    <w:link w:val="a6"/>
    <w:rsid w:val="0043516C"/>
    <w:rPr>
      <w:rFonts w:ascii="Tahoma" w:hAnsi="Tahoma" w:cs="Tahoma"/>
      <w:sz w:val="16"/>
      <w:szCs w:val="16"/>
    </w:rPr>
  </w:style>
  <w:style w:type="paragraph" w:styleId="a8">
    <w:name w:val="List Paragraph"/>
    <w:basedOn w:val="a"/>
    <w:uiPriority w:val="34"/>
    <w:qFormat/>
    <w:rsid w:val="0043516C"/>
    <w:pPr>
      <w:ind w:left="720"/>
      <w:contextualSpacing/>
    </w:pPr>
  </w:style>
  <w:style w:type="paragraph" w:styleId="NormalWeb">
    <w:name w:val="Normal (Web)"/>
    <w:basedOn w:val="a"/>
    <w:uiPriority w:val="99"/>
    <w:unhideWhenUsed/>
    <w:rsid w:val="007D7640"/>
    <w:pPr>
      <w:bidi w:val="0"/>
      <w:spacing w:before="100" w:beforeAutospacing="1" w:after="100" w:afterAutospacing="1"/>
    </w:pPr>
  </w:style>
  <w:style w:type="character" w:customStyle="1" w:styleId="a9">
    <w:name w:val="טקסט הערת שוליים תו"/>
    <w:aliases w:val="תו תו"/>
    <w:basedOn w:val="a0"/>
    <w:link w:val="aa"/>
    <w:uiPriority w:val="99"/>
    <w:locked/>
    <w:rsid w:val="007D7640"/>
  </w:style>
  <w:style w:type="paragraph" w:styleId="aa">
    <w:name w:val="footnote text"/>
    <w:aliases w:val="תו"/>
    <w:basedOn w:val="a"/>
    <w:link w:val="a9"/>
    <w:uiPriority w:val="99"/>
    <w:unhideWhenUsed/>
    <w:qFormat/>
    <w:rsid w:val="007D7640"/>
    <w:pPr>
      <w:bidi w:val="0"/>
    </w:pPr>
    <w:rPr>
      <w:sz w:val="20"/>
      <w:szCs w:val="20"/>
    </w:rPr>
  </w:style>
  <w:style w:type="character" w:customStyle="1" w:styleId="10">
    <w:name w:val="טקסט הערת שוליים תו1"/>
    <w:basedOn w:val="a0"/>
    <w:rsid w:val="007D7640"/>
  </w:style>
  <w:style w:type="character" w:styleId="ab">
    <w:name w:val="footnote reference"/>
    <w:basedOn w:val="a0"/>
    <w:uiPriority w:val="99"/>
    <w:unhideWhenUsed/>
    <w:rsid w:val="007D76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7597">
      <w:bodyDiv w:val="1"/>
      <w:marLeft w:val="0"/>
      <w:marRight w:val="0"/>
      <w:marTop w:val="0"/>
      <w:marBottom w:val="0"/>
      <w:divBdr>
        <w:top w:val="none" w:sz="0" w:space="0" w:color="auto"/>
        <w:left w:val="none" w:sz="0" w:space="0" w:color="auto"/>
        <w:bottom w:val="none" w:sz="0" w:space="0" w:color="auto"/>
        <w:right w:val="none" w:sz="0" w:space="0" w:color="auto"/>
      </w:divBdr>
    </w:div>
    <w:div w:id="461116496">
      <w:bodyDiv w:val="1"/>
      <w:marLeft w:val="0"/>
      <w:marRight w:val="0"/>
      <w:marTop w:val="0"/>
      <w:marBottom w:val="0"/>
      <w:divBdr>
        <w:top w:val="none" w:sz="0" w:space="0" w:color="auto"/>
        <w:left w:val="none" w:sz="0" w:space="0" w:color="auto"/>
        <w:bottom w:val="none" w:sz="0" w:space="0" w:color="auto"/>
        <w:right w:val="none" w:sz="0" w:space="0" w:color="auto"/>
      </w:divBdr>
    </w:div>
    <w:div w:id="211786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ail@acri.org.il" TargetMode="External"/><Relationship Id="rId1" Type="http://schemas.openxmlformats.org/officeDocument/2006/relationships/hyperlink" Target="http://www.acri.org.i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il@acri.org.il" TargetMode="External"/><Relationship Id="rId1" Type="http://schemas.openxmlformats.org/officeDocument/2006/relationships/hyperlink" Target="http://www.acri.org.i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Desktop\&#1504;&#1497;&#1497;&#1512;%20&#1500;&#1493;&#1490;&#1493;%20&#1500;&#1502;&#1499;&#1514;&#1489;.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נייר לוגו למכתב</Template>
  <TotalTime>1</TotalTime>
  <Pages>2</Pages>
  <Words>627</Words>
  <Characters>3136</Characters>
  <Application>Microsoft Office Word</Application>
  <DocSecurity>4</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3756</CharactersWithSpaces>
  <SharedDoc>false</SharedDoc>
  <HLinks>
    <vt:vector size="24" baseType="variant">
      <vt:variant>
        <vt:i4>5046310</vt:i4>
      </vt:variant>
      <vt:variant>
        <vt:i4>14</vt:i4>
      </vt:variant>
      <vt:variant>
        <vt:i4>0</vt:i4>
      </vt:variant>
      <vt:variant>
        <vt:i4>5</vt:i4>
      </vt:variant>
      <vt:variant>
        <vt:lpwstr>mailto:mail@acri.org.il</vt:lpwstr>
      </vt:variant>
      <vt:variant>
        <vt:lpwstr/>
      </vt:variant>
      <vt:variant>
        <vt:i4>2490427</vt:i4>
      </vt:variant>
      <vt:variant>
        <vt:i4>11</vt:i4>
      </vt:variant>
      <vt:variant>
        <vt:i4>0</vt:i4>
      </vt:variant>
      <vt:variant>
        <vt:i4>5</vt:i4>
      </vt:variant>
      <vt:variant>
        <vt:lpwstr>http://www.acri.org.il/</vt:lpwstr>
      </vt:variant>
      <vt:variant>
        <vt:lpwstr/>
      </vt:variant>
      <vt:variant>
        <vt:i4>5046310</vt:i4>
      </vt:variant>
      <vt:variant>
        <vt:i4>8</vt:i4>
      </vt:variant>
      <vt:variant>
        <vt:i4>0</vt:i4>
      </vt:variant>
      <vt:variant>
        <vt:i4>5</vt:i4>
      </vt:variant>
      <vt:variant>
        <vt:lpwstr>mailto:mail@acri.org.il</vt:lpwstr>
      </vt:variant>
      <vt:variant>
        <vt:lpwstr/>
      </vt:variant>
      <vt:variant>
        <vt:i4>2490427</vt:i4>
      </vt:variant>
      <vt:variant>
        <vt:i4>5</vt:i4>
      </vt:variant>
      <vt:variant>
        <vt:i4>0</vt:i4>
      </vt:variant>
      <vt:variant>
        <vt:i4>5</vt:i4>
      </vt:variant>
      <vt:variant>
        <vt:lpwstr>http://www.acri.org.il/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Gan-Mor</dc:creator>
  <cp:lastModifiedBy>Yaron Kelner</cp:lastModifiedBy>
  <cp:revision>2</cp:revision>
  <cp:lastPrinted>2017-01-16T12:06:00Z</cp:lastPrinted>
  <dcterms:created xsi:type="dcterms:W3CDTF">2017-02-02T09:17:00Z</dcterms:created>
  <dcterms:modified xsi:type="dcterms:W3CDTF">2017-02-02T09:17:00Z</dcterms:modified>
</cp:coreProperties>
</file>